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F945A">
      <w:pPr>
        <w:spacing w:line="560" w:lineRule="exact"/>
        <w:jc w:val="left"/>
        <w:outlineLvl w:val="0"/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28"/>
          <w:highlight w:val="none"/>
          <w:lang w:val="en-US" w:eastAsia="zh-CN"/>
        </w:rPr>
      </w:pPr>
      <w:bookmarkStart w:id="2" w:name="_GoBack"/>
      <w:bookmarkEnd w:id="2"/>
      <w:bookmarkStart w:id="0" w:name="_Toc312252521"/>
      <w:bookmarkStart w:id="1" w:name="_Toc320015995"/>
      <w:r>
        <w:rPr>
          <w:rFonts w:hint="eastAsia" w:ascii="方正仿宋简体" w:hAnsi="方正仿宋简体" w:eastAsia="方正仿宋简体" w:cs="方正仿宋简体"/>
          <w:b w:val="0"/>
          <w:bCs w:val="0"/>
          <w:color w:val="auto"/>
          <w:sz w:val="28"/>
          <w:highlight w:val="none"/>
          <w:lang w:val="en-US" w:eastAsia="zh-CN"/>
        </w:rPr>
        <w:t>附件</w:t>
      </w:r>
    </w:p>
    <w:p w14:paraId="3D570094">
      <w:pPr>
        <w:widowControl w:val="0"/>
        <w:wordWrap/>
        <w:adjustRightInd/>
        <w:snapToGrid/>
        <w:spacing w:line="480" w:lineRule="exact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  <w:t>2025年度广东省工程研究中心组建名单</w:t>
      </w:r>
    </w:p>
    <w:p w14:paraId="17E6A725">
      <w:pPr>
        <w:widowControl w:val="0"/>
        <w:wordWrap/>
        <w:adjustRightInd/>
        <w:snapToGrid/>
        <w:spacing w:line="480" w:lineRule="exact"/>
        <w:jc w:val="center"/>
        <w:textAlignment w:val="auto"/>
        <w:outlineLvl w:val="1"/>
        <w:rPr>
          <w:rFonts w:hint="eastAsia" w:ascii="楷体_GB2312" w:hAnsi="楷体_GB2312" w:eastAsia="楷体_GB2312" w:cs="楷体_GB2312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color w:val="auto"/>
          <w:kern w:val="0"/>
          <w:sz w:val="28"/>
          <w:szCs w:val="28"/>
          <w:highlight w:val="none"/>
          <w:lang w:val="en-US" w:eastAsia="zh-CN"/>
        </w:rPr>
        <w:t>（排名不分先后）</w:t>
      </w:r>
    </w:p>
    <w:p w14:paraId="7D8A9753">
      <w:pPr>
        <w:widowControl w:val="0"/>
        <w:wordWrap/>
        <w:adjustRightInd/>
        <w:snapToGrid/>
        <w:spacing w:line="480" w:lineRule="exact"/>
        <w:jc w:val="both"/>
        <w:textAlignment w:val="auto"/>
        <w:outlineLvl w:val="1"/>
        <w:rPr>
          <w:rFonts w:hint="eastAsia" w:ascii="微软雅黑" w:hAnsi="微软雅黑" w:eastAsia="微软雅黑" w:cs="微软雅黑"/>
          <w:color w:val="auto"/>
          <w:kern w:val="0"/>
          <w:sz w:val="10"/>
          <w:szCs w:val="10"/>
          <w:highlight w:val="none"/>
          <w:lang w:val="en-US" w:eastAsia="zh-CN"/>
        </w:rPr>
      </w:pPr>
    </w:p>
    <w:tbl>
      <w:tblPr>
        <w:tblStyle w:val="8"/>
        <w:tblW w:w="1397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4169"/>
        <w:gridCol w:w="2742"/>
        <w:gridCol w:w="2457"/>
        <w:gridCol w:w="1504"/>
        <w:gridCol w:w="2116"/>
      </w:tblGrid>
      <w:tr w14:paraId="04DC8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tblHeader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FBA33F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序号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84B15F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工程研究中心名称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CC2F337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依托单位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2E4136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所属领域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2700EE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default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所在地市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D75717">
            <w:pPr>
              <w:widowControl/>
              <w:wordWrap/>
              <w:adjustRightInd/>
              <w:snapToGrid/>
              <w:spacing w:line="36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/>
              </w:rPr>
              <w:t>主管单位</w:t>
            </w:r>
          </w:p>
        </w:tc>
      </w:tr>
      <w:tr w14:paraId="1DB71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9" w:hRule="atLeast"/>
          <w:jc w:val="center"/>
        </w:trPr>
        <w:tc>
          <w:tcPr>
            <w:tcW w:w="13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CDABCD">
            <w:pPr>
              <w:widowControl/>
              <w:wordWrap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一、企业类</w:t>
            </w:r>
          </w:p>
        </w:tc>
      </w:tr>
      <w:tr w14:paraId="741C8E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81CF22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E9E45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数字配用电装备与人工智能</w:t>
            </w:r>
          </w:p>
          <w:p w14:paraId="24A0D5F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24E6E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南方电网电力科技股份</w:t>
            </w:r>
          </w:p>
          <w:p w14:paraId="2E99B4E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1BCE6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新能源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25F43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BB35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093B62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D5729E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E00F1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电氢协同低碳技术</w:t>
            </w:r>
          </w:p>
          <w:p w14:paraId="54ABEE3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FAC29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广东电网有限责任公司</w:t>
            </w:r>
          </w:p>
          <w:p w14:paraId="0F3BB7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广州供电局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90F1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新能源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61747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853B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161A61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D7A090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EF15E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新型储能</w:t>
            </w:r>
          </w:p>
          <w:p w14:paraId="5B583DB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C0C23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广东新型储能国家研究院</w:t>
            </w:r>
          </w:p>
          <w:p w14:paraId="702FFD79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6762E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新能源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9DF80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C20637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65C5BC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0634B4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41063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固废基绿色建材</w:t>
            </w:r>
          </w:p>
          <w:p w14:paraId="4147614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7C22A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广州市建筑科学研究院</w:t>
            </w:r>
          </w:p>
          <w:p w14:paraId="690611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集团有限公司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D9D0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新材料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F0A4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6F932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34226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2CB061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945CF1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氢燃料电池及核心零部件</w:t>
            </w:r>
          </w:p>
          <w:p w14:paraId="1E8313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89D09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广东云韬氢能科技有限公司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1650E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新能源汽车产业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D988A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A792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55AF97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DFE3EA5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6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C68D0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放射性核药创制</w:t>
            </w:r>
          </w:p>
          <w:p w14:paraId="60B572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50BA8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广州市原子高科同位素医药有限公司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03A62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3FCF7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4208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797D5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A3CB48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7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43559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肿瘤热灌注治疗技术</w:t>
            </w:r>
          </w:p>
          <w:p w14:paraId="098CFD3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2CEEF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广州保瑞医疗技术有限公司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2148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04A0C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9442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726EB3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DFDC88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8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36C208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生物芯片</w:t>
            </w:r>
            <w:r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AI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制造、快检应用及检测认证</w:t>
            </w:r>
          </w:p>
          <w:p w14:paraId="249F57A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A8810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广州汇标检测技术中心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DEF9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8A1CC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1221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3DD1F0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D5BF39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9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35EEB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数字政府</w:t>
            </w:r>
            <w:r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AI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平台关键技术及成果转化</w:t>
            </w:r>
          </w:p>
          <w:p w14:paraId="0D59479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B938A3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数字广东网络建设有限公司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CEDE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06194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23FD6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23D0B5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891522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10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8ED41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新一代移动通信及人工智能射频芯片设计</w:t>
            </w:r>
          </w:p>
          <w:p w14:paraId="6AAEFB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与制备广东省工程研究中心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DE851A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广州市艾佛光通科技</w:t>
            </w:r>
          </w:p>
          <w:p w14:paraId="60A22C8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CF25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4D401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5AD83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1F60D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074A4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9B69A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储能电芯及系统</w:t>
            </w:r>
          </w:p>
          <w:p w14:paraId="5022382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BF9C4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因湃电池科技有限公司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CC0A09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8563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EB8AB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67E221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10AF983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12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2C7C8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传感器用关键</w:t>
            </w:r>
            <w:r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PCB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技术</w:t>
            </w:r>
          </w:p>
          <w:p w14:paraId="526EF30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524F3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鹏鼎控股（深圳）股份</w:t>
            </w:r>
          </w:p>
          <w:p w14:paraId="44031B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9DA7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F0B74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21A16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深圳市发展改革委</w:t>
            </w:r>
          </w:p>
        </w:tc>
      </w:tr>
      <w:tr w14:paraId="57F28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CE5B3A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13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142E1F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航空动力电池</w:t>
            </w:r>
          </w:p>
          <w:p w14:paraId="594DE09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F1DF3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欣旺达动力科技股份</w:t>
            </w:r>
          </w:p>
          <w:p w14:paraId="2060B5A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2A1A9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低空经济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8FC01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CE239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深圳市发展改革委</w:t>
            </w:r>
          </w:p>
        </w:tc>
      </w:tr>
      <w:tr w14:paraId="5B014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851363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14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7D9C9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低空相控阵雷达</w:t>
            </w:r>
          </w:p>
          <w:p w14:paraId="0946305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A127E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广东纳睿雷达科技股份</w:t>
            </w:r>
          </w:p>
          <w:p w14:paraId="0924119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F6DE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低空经济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AC32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珠海市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B4C85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珠海市发展改革局</w:t>
            </w:r>
          </w:p>
        </w:tc>
      </w:tr>
      <w:tr w14:paraId="10E0C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E1428A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15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96FD5C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智能模压成型装备</w:t>
            </w:r>
          </w:p>
          <w:p w14:paraId="2D517F0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B0A92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伊之密股份有限公司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B0498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A87D16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531F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佛山市发展改革局</w:t>
            </w:r>
          </w:p>
        </w:tc>
      </w:tr>
      <w:tr w14:paraId="4A81B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017AA81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16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02FAF9A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PET</w:t>
            </w: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食品饮料容器成型及包装模具</w:t>
            </w:r>
          </w:p>
          <w:p w14:paraId="2FFD730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56BAA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广东星联精密机械有限公司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F4322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25568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8989ED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佛山市发展改革局</w:t>
            </w:r>
          </w:p>
        </w:tc>
      </w:tr>
      <w:tr w14:paraId="5CE48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34D9F7C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17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48447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玻璃基芯片板级封装</w:t>
            </w:r>
          </w:p>
          <w:p w14:paraId="381FDC7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7F0C1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广东佛智芯微电子有限公司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0EDA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0F16EB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C2978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佛山市发展改革局</w:t>
            </w:r>
          </w:p>
        </w:tc>
      </w:tr>
      <w:tr w14:paraId="16AC1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B075D3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18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5CCBA4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先进能源环保型电力装备</w:t>
            </w:r>
          </w:p>
          <w:p w14:paraId="3FF954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F9863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广东明阳电气股份有限公司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E97A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节能环保产业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628EC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EC296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中山市发展改革局</w:t>
            </w:r>
          </w:p>
        </w:tc>
      </w:tr>
      <w:tr w14:paraId="512E7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EA65BB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19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B386C8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高端半导体溅射靶材</w:t>
            </w:r>
          </w:p>
          <w:p w14:paraId="013D0B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7EDD80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中山智隆新材料科技</w:t>
            </w:r>
          </w:p>
          <w:p w14:paraId="3BD44E0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45F97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新材料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D9F6D5C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A0043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中山市发展改革局</w:t>
            </w:r>
          </w:p>
        </w:tc>
      </w:tr>
      <w:tr w14:paraId="48518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FCE874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20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32ED96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空间能源分系统</w:t>
            </w:r>
          </w:p>
          <w:p w14:paraId="3E5C3F4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0B89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中山德华芯片技术有限公司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7113D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EBC89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7F78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中山市发展改革局</w:t>
            </w:r>
          </w:p>
        </w:tc>
      </w:tr>
      <w:tr w14:paraId="792082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7" w:hRule="atLeast"/>
          <w:jc w:val="center"/>
        </w:trPr>
        <w:tc>
          <w:tcPr>
            <w:tcW w:w="139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C97C65">
            <w:pPr>
              <w:widowControl/>
              <w:wordWrap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二、高校院所类</w:t>
            </w:r>
          </w:p>
        </w:tc>
      </w:tr>
      <w:tr w14:paraId="615202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1DFC8D4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423406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新型存储器件与集成技术</w:t>
            </w:r>
          </w:p>
          <w:p w14:paraId="5EB61E2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4ABDB5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广东工业大学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76C00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BA5FFA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F010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4094D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95C23D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22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E63E98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中医药大数据与人工智能</w:t>
            </w:r>
          </w:p>
          <w:p w14:paraId="2BEEC16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75A73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广州中医药大学第一附属医院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CB902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301CC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0788A9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58EBB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E23CA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23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6734FB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量子材料与量子信息</w:t>
            </w:r>
          </w:p>
          <w:p w14:paraId="1AEA360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8C2C1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广东工业大学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0F4A2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D775C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5CD6F7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170DE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87E509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24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D5E8851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具身智能失控防护</w:t>
            </w:r>
          </w:p>
          <w:p w14:paraId="1ACCD4A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D86C5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哈尔滨工业大学（深圳）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044228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57AD3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71345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5C945A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00CAAC9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25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0878C1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人工智能赋能医养健康</w:t>
            </w:r>
          </w:p>
          <w:p w14:paraId="49DBCEB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52CA4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南方科技大学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EC9B7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7CD6D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841B8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4E58A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8DA9E8D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26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7CCEA60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智能计算与感知芯片</w:t>
            </w:r>
          </w:p>
          <w:p w14:paraId="33DD030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F66EDA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中山大学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6820C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DF3A0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珠海市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01CBB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7D7C1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2C4CF4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27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7FF613F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战略新兴产业金融服务大模型</w:t>
            </w:r>
          </w:p>
          <w:p w14:paraId="405890D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512A6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广东金融学院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48E647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A6A2E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清远市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F93BD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7BAA0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6D050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28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80C522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化合物半导体</w:t>
            </w:r>
          </w:p>
          <w:p w14:paraId="7DF8F34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B7CCEF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东莞理工学院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BC6294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28684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东莞市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E407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73C82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BF9D128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29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4E2874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纳米生物智造</w:t>
            </w:r>
          </w:p>
          <w:p w14:paraId="621EDBF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26C65A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暨南大学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A99FD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新材料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B2C0D1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2184A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259C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88C280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30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0986F68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环境健康风险药食同源干预</w:t>
            </w:r>
          </w:p>
          <w:p w14:paraId="7A7F6B3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419B4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广东药科大学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A824B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1E3482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AF8AD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16A88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B72BED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8928686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先进放疗装备及技术</w:t>
            </w:r>
          </w:p>
          <w:p w14:paraId="68FFB2A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77806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中山大学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556F67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5825764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B68F6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73255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00C668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32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B9E4564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先进体外诊断技术</w:t>
            </w:r>
          </w:p>
          <w:p w14:paraId="4CF8191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7BC0A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南方医科大学南方医院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B457D1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E7D2C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759BE3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6379D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89F042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33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0647EF3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新污染物低碳治理技术</w:t>
            </w:r>
          </w:p>
          <w:p w14:paraId="1FD5054C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7780A7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佛山大学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FB6566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节能环保产业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4123D5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372B8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7EB40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9EAD70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34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F289506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海洋能源绿色工程材料及装备</w:t>
            </w:r>
          </w:p>
          <w:p w14:paraId="7ED72E3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F2EAFD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东莞理工学院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2C536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9188A2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东莞市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A63EAE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55293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65FB4AD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35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292904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高性能金属增材制造与智能磨抛</w:t>
            </w:r>
          </w:p>
          <w:p w14:paraId="61E1C0F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7D56D9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广东开放大学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7DE5E2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1473F6E"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中山市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075365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B9B27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520C0A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36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B0553AE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海洋资源监测与利用</w:t>
            </w:r>
          </w:p>
          <w:p w14:paraId="1BBAAD7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0EC78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岭南师范学院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F549CCB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4BD273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湛江市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25B246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01820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CA332A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37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8F3E2B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天基微波定标</w:t>
            </w:r>
          </w:p>
          <w:p w14:paraId="6532DAB6">
            <w:pPr>
              <w:autoSpaceDN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C5F803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深圳大学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3B09E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CC78546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6ECF6C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1698E0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34A8C36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38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AB7FDD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智能装配与检测技术</w:t>
            </w:r>
          </w:p>
          <w:p w14:paraId="5F23F18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820520A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北京理工大学（珠海）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DCB588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A9EE6D0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珠海市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7D42D6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58232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615431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39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F4D82B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低空融合飞行与安全评估</w:t>
            </w:r>
          </w:p>
          <w:p w14:paraId="10E5A092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258CF0">
            <w:pPr>
              <w:widowControl/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清华大学深圳国际研究生院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1E47E8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低空经济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EA0F5E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3933C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31B933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CE31E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40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D8AD3B1">
            <w:pPr>
              <w:autoSpaceDN w:val="0"/>
              <w:jc w:val="center"/>
              <w:textAlignment w:val="center"/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低空遥感智能监测</w:t>
            </w:r>
          </w:p>
          <w:p w14:paraId="5DEFF1D3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F668ED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广东财经大学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294BCDF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低空经济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C88629">
            <w:pPr>
              <w:autoSpaceDN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/>
                <w:b w:val="0"/>
                <w:i w:val="0"/>
                <w:color w:val="000000"/>
                <w:sz w:val="21"/>
                <w:u w:val="none"/>
                <w:lang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17DDBC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广东省教育厅</w:t>
            </w:r>
          </w:p>
        </w:tc>
      </w:tr>
      <w:tr w14:paraId="5D21F6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0F84D35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621E5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眼科高精尖智能设备</w:t>
            </w:r>
          </w:p>
          <w:p w14:paraId="6F0410F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6434A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中山大学中山眼科中心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9C265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A1982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CA847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7C650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7C8873D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42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F79B9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医学人工智能多模态系统</w:t>
            </w:r>
          </w:p>
          <w:p w14:paraId="6A3CF2B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EA7442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中山大学附属第三医院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87C2F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1EBE4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958CC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16C46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6B32C3B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43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8BD12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耳鼻咽喉科诊疗创新</w:t>
            </w:r>
          </w:p>
          <w:p w14:paraId="241487D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85CEE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中山大学附属第一医院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1D624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0C13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4D47D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35B54D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7033D2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44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5285B8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智能神经工程与脑机接口转化</w:t>
            </w:r>
          </w:p>
          <w:p w14:paraId="1637068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5E5DA4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南方医科大学珠江医院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64407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脑机接口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E2BDD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984722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5709A7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82EF3C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45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A685C5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生殖健康与遗传性疾病代际阻断</w:t>
            </w:r>
          </w:p>
          <w:p w14:paraId="3E4933B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AB5B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广东省第二人民医院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C22BBE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EF251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16EDA2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03F0A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5928F29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46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CCB034D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海洋可再生能源</w:t>
            </w:r>
          </w:p>
          <w:p w14:paraId="36560B3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0CFAD7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中国科学院广州能源研究所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290E0C2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E7EB09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682D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广州市发展改革委</w:t>
            </w:r>
          </w:p>
        </w:tc>
      </w:tr>
      <w:tr w14:paraId="47F115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602D789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47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6FB8DA2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具身智能机器人</w:t>
            </w:r>
          </w:p>
          <w:p w14:paraId="536C93C6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CD768C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深圳市人工智能与</w:t>
            </w:r>
          </w:p>
          <w:p w14:paraId="2A9D5E5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机器人研究院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BF0530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新一代信息技术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A8577D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E7D81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深圳市发展改革委</w:t>
            </w:r>
          </w:p>
        </w:tc>
      </w:tr>
      <w:tr w14:paraId="6C4FC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DD35A86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48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42CF2C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人工智能肿瘤精准诊疗</w:t>
            </w:r>
          </w:p>
          <w:p w14:paraId="0BD3EE6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42C343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汕头大学医学院</w:t>
            </w:r>
          </w:p>
          <w:p w14:paraId="3C1BB17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附属肿瘤医院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24846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DCFC0B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汕头市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45C019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汕头市发展改革局</w:t>
            </w:r>
          </w:p>
        </w:tc>
      </w:tr>
      <w:tr w14:paraId="4DC445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2544B23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49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7EA80F1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有色金属功能新材料</w:t>
            </w:r>
          </w:p>
          <w:p w14:paraId="6454F90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011697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有研（广东）新材料技术</w:t>
            </w:r>
          </w:p>
          <w:p w14:paraId="3BEBB3A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研究院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2A100D0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新材料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D183C11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5D4E1EE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佛山市发展改革局</w:t>
            </w:r>
          </w:p>
        </w:tc>
      </w:tr>
      <w:tr w14:paraId="1D848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AD0EFD7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50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D7C1AB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脑机接口创伤康复</w:t>
            </w:r>
          </w:p>
          <w:p w14:paraId="19D4BDF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DC882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华南理工大学附属第六医院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46A867F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生物产业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ADE4B55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43A399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佛山市发展改革局</w:t>
            </w:r>
          </w:p>
        </w:tc>
      </w:tr>
      <w:tr w14:paraId="006587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7" w:hRule="atLeast"/>
          <w:jc w:val="center"/>
        </w:trPr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3DF424">
            <w:pPr>
              <w:widowControl/>
              <w:jc w:val="center"/>
              <w:textAlignment w:val="center"/>
              <w:rPr>
                <w:rFonts w:hint="default" w:ascii="Times New Roman" w:hAnsi="Times New Roman" w:eastAsia="CESI宋体-GB13000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51</w:t>
            </w:r>
          </w:p>
        </w:tc>
        <w:tc>
          <w:tcPr>
            <w:tcW w:w="41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8DB007E"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智慧渔业</w:t>
            </w:r>
          </w:p>
          <w:p w14:paraId="3DD84F18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广东省工程研究中心</w:t>
            </w:r>
          </w:p>
        </w:tc>
        <w:tc>
          <w:tcPr>
            <w:tcW w:w="2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12B1BB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南方海洋科学与工程广东省实验室（湛江）</w:t>
            </w:r>
          </w:p>
        </w:tc>
        <w:tc>
          <w:tcPr>
            <w:tcW w:w="2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1DA4A4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高端装备</w:t>
            </w:r>
          </w:p>
        </w:tc>
        <w:tc>
          <w:tcPr>
            <w:tcW w:w="1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7DE4E63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湛江市</w:t>
            </w:r>
          </w:p>
        </w:tc>
        <w:tc>
          <w:tcPr>
            <w:tcW w:w="21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AE134AA"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湛江市发展改革局</w:t>
            </w:r>
            <w:bookmarkEnd w:id="0"/>
            <w:bookmarkEnd w:id="1"/>
          </w:p>
        </w:tc>
      </w:tr>
    </w:tbl>
    <w:p w14:paraId="53375F92">
      <w:pPr>
        <w:spacing w:line="360" w:lineRule="auto"/>
        <w:jc w:val="left"/>
        <w:rPr>
          <w:rFonts w:hint="default" w:ascii="仿宋_GB2312" w:hAnsi="宋体" w:eastAsia="仿宋_GB2312"/>
          <w:color w:val="auto"/>
          <w:sz w:val="28"/>
          <w:szCs w:val="28"/>
          <w:highlight w:val="none"/>
          <w:lang w:val="en-US" w:eastAsia="zh-CN"/>
        </w:rPr>
      </w:pPr>
    </w:p>
    <w:sectPr>
      <w:footerReference r:id="rId3" w:type="default"/>
      <w:pgSz w:w="16838" w:h="11906" w:orient="landscape"/>
      <w:pgMar w:top="1701" w:right="1440" w:bottom="1701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宋体-GB13000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KSOF439EEF50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6D1F8">
    <w:pPr>
      <w:pStyle w:val="4"/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shape id="文本框1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 w14:paraId="3FDA7AF4">
                <w:pPr>
                  <w:snapToGrid w:val="0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4F0F7D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character" w:default="1" w:styleId="9">
    <w:name w:val="Default Paragraph Font"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2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  <w:pPr>
      <w:tabs>
        <w:tab w:val="right" w:leader="dot" w:pos="8296"/>
      </w:tabs>
      <w:spacing w:line="240" w:lineRule="atLeast"/>
    </w:pPr>
    <w:rPr>
      <w:rFonts w:ascii="黑体" w:hAnsi="Times New Roman" w:eastAsia="黑体"/>
      <w:sz w:val="30"/>
      <w:szCs w:val="30"/>
    </w:rPr>
  </w:style>
  <w:style w:type="paragraph" w:styleId="7">
    <w:name w:val="toc 2"/>
    <w:basedOn w:val="1"/>
    <w:next w:val="1"/>
    <w:qFormat/>
    <w:uiPriority w:val="0"/>
    <w:pPr>
      <w:spacing w:line="240" w:lineRule="atLeast"/>
      <w:ind w:left="200" w:leftChars="200"/>
    </w:pPr>
    <w:rPr>
      <w:rFonts w:ascii="仿宋_GB2312" w:hAnsi="Times New Roman" w:eastAsia="仿宋_GB2312"/>
      <w:sz w:val="28"/>
      <w:szCs w:val="28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 Char Char Char Char"/>
    <w:basedOn w:val="1"/>
    <w:qFormat/>
    <w:uiPriority w:val="0"/>
    <w:pPr>
      <w:spacing w:line="360" w:lineRule="auto"/>
      <w:ind w:firstLine="200" w:firstLineChars="200"/>
    </w:pPr>
    <w:rPr>
      <w:rFonts w:ascii="宋体" w:hAnsi="宋体" w:cs="宋体"/>
      <w:sz w:val="24"/>
      <w:szCs w:val="26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hint="eastAsia" w:ascii="新宋体" w:hAnsi="新宋体" w:eastAsia="新宋体" w:cs="Times New Roman"/>
      <w:color w:val="000000"/>
      <w:sz w:val="24"/>
      <w:lang w:val="en-US" w:eastAsia="zh-CN" w:bidi="ar-SA"/>
    </w:rPr>
  </w:style>
  <w:style w:type="paragraph" w:customStyle="1" w:styleId="13">
    <w:name w:val="List Paragraph"/>
    <w:basedOn w:val="1"/>
    <w:uiPriority w:val="0"/>
    <w:pPr>
      <w:ind w:firstLine="420" w:firstLineChars="200"/>
    </w:pPr>
    <w:rPr>
      <w:rFonts w:ascii="Times New Roman" w:hAnsi="Times New Roman"/>
      <w:szCs w:val="24"/>
    </w:rPr>
  </w:style>
  <w:style w:type="paragraph" w:customStyle="1" w:styleId="14">
    <w:name w:val="样式 标题 1 + 黑体 三号 非加粗 居中 段前: 19.5 磅 段后: 19.5 磅 行距: 多倍行距 3 字行"/>
    <w:basedOn w:val="2"/>
    <w:next w:val="1"/>
    <w:qFormat/>
    <w:uiPriority w:val="0"/>
    <w:pPr>
      <w:spacing w:before="0" w:after="0" w:line="240" w:lineRule="atLeast"/>
      <w:jc w:val="center"/>
    </w:pPr>
    <w:rPr>
      <w:rFonts w:ascii="黑体" w:hAnsi="Times New Roman" w:eastAsia="黑体" w:cs="宋体"/>
      <w:b w:val="0"/>
      <w:bCs w:val="0"/>
      <w:sz w:val="32"/>
      <w:szCs w:val="20"/>
    </w:rPr>
  </w:style>
  <w:style w:type="paragraph" w:customStyle="1" w:styleId="15">
    <w:name w:val="表格样式2"/>
    <w:basedOn w:val="1"/>
    <w:link w:val="19"/>
    <w:qFormat/>
    <w:uiPriority w:val="0"/>
    <w:pPr>
      <w:spacing w:beforeLines="20" w:afterLines="20"/>
      <w:jc w:val="center"/>
    </w:pPr>
    <w:rPr>
      <w:rFonts w:ascii="宋体" w:hAnsi="宋体"/>
      <w:kern w:val="2"/>
      <w:sz w:val="24"/>
      <w:szCs w:val="24"/>
    </w:rPr>
  </w:style>
  <w:style w:type="paragraph" w:customStyle="1" w:styleId="16">
    <w:name w:val="Date"/>
    <w:basedOn w:val="1"/>
    <w:next w:val="1"/>
    <w:link w:val="22"/>
    <w:qFormat/>
    <w:uiPriority w:val="0"/>
    <w:rPr>
      <w:rFonts w:ascii="Times New Roman" w:hAnsi="Times New Roman" w:eastAsia="隶书"/>
      <w:kern w:val="2"/>
      <w:sz w:val="44"/>
    </w:rPr>
  </w:style>
  <w:style w:type="paragraph" w:customStyle="1" w:styleId="17">
    <w:name w:val="Document Map"/>
    <w:basedOn w:val="1"/>
    <w:link w:val="23"/>
    <w:qFormat/>
    <w:uiPriority w:val="0"/>
    <w:rPr>
      <w:rFonts w:ascii="宋体"/>
      <w:kern w:val="2"/>
      <w:sz w:val="18"/>
      <w:szCs w:val="18"/>
    </w:rPr>
  </w:style>
  <w:style w:type="paragraph" w:customStyle="1" w:styleId="18">
    <w:name w:val="批注框文本 Char Char"/>
    <w:basedOn w:val="1"/>
    <w:qFormat/>
    <w:uiPriority w:val="0"/>
    <w:rPr>
      <w:sz w:val="18"/>
      <w:szCs w:val="18"/>
    </w:rPr>
  </w:style>
  <w:style w:type="character" w:customStyle="1" w:styleId="19">
    <w:name w:val="表格样式2 Char Char"/>
    <w:link w:val="15"/>
    <w:semiHidden/>
    <w:qFormat/>
    <w:uiPriority w:val="0"/>
    <w:rPr>
      <w:rFonts w:ascii="宋体" w:hAnsi="宋体"/>
      <w:kern w:val="2"/>
      <w:sz w:val="24"/>
      <w:szCs w:val="24"/>
    </w:rPr>
  </w:style>
  <w:style w:type="character" w:customStyle="1" w:styleId="20">
    <w:name w:val="页眉 Char Char"/>
    <w:link w:val="5"/>
    <w:semiHidden/>
    <w:qFormat/>
    <w:uiPriority w:val="0"/>
    <w:rPr>
      <w:sz w:val="18"/>
      <w:szCs w:val="18"/>
    </w:rPr>
  </w:style>
  <w:style w:type="character" w:customStyle="1" w:styleId="21">
    <w:name w:val="页脚 Char Char"/>
    <w:link w:val="4"/>
    <w:semiHidden/>
    <w:qFormat/>
    <w:uiPriority w:val="0"/>
    <w:rPr>
      <w:sz w:val="18"/>
      <w:szCs w:val="18"/>
    </w:rPr>
  </w:style>
  <w:style w:type="character" w:customStyle="1" w:styleId="22">
    <w:name w:val="日期 Char Char"/>
    <w:link w:val="16"/>
    <w:semiHidden/>
    <w:qFormat/>
    <w:uiPriority w:val="0"/>
    <w:rPr>
      <w:rFonts w:ascii="Times New Roman" w:hAnsi="Times New Roman" w:eastAsia="隶书"/>
      <w:kern w:val="2"/>
      <w:sz w:val="44"/>
    </w:rPr>
  </w:style>
  <w:style w:type="character" w:customStyle="1" w:styleId="23">
    <w:name w:val="文档结构图 Char Char"/>
    <w:link w:val="17"/>
    <w:semiHidden/>
    <w:uiPriority w:val="0"/>
    <w:rPr>
      <w:rFonts w:ascii="宋体"/>
      <w:kern w:val="2"/>
      <w:sz w:val="18"/>
      <w:szCs w:val="18"/>
    </w:rPr>
  </w:style>
  <w:style w:type="character" w:customStyle="1" w:styleId="24">
    <w:name w:val="标题 2 Char Char"/>
    <w:link w:val="3"/>
    <w:semiHidden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5">
    <w:name w:val="标题 1 Char Char"/>
    <w:link w:val="2"/>
    <w:semiHidden/>
    <w:qFormat/>
    <w:uiPriority w:val="0"/>
    <w:rPr>
      <w:b/>
      <w:bCs/>
      <w:kern w:val="44"/>
      <w:sz w:val="44"/>
      <w:szCs w:val="44"/>
    </w:rPr>
  </w:style>
  <w:style w:type="character" w:customStyle="1" w:styleId="26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2372</Words>
  <Characters>2423</Characters>
  <Lines>542</Lines>
  <Paragraphs>427</Paragraphs>
  <TotalTime>0</TotalTime>
  <ScaleCrop>false</ScaleCrop>
  <LinksUpToDate>false</LinksUpToDate>
  <CharactersWithSpaces>2423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2017-09-17T17:22:00Z</dcterms:created>
  <dc:creator>fgw</dc:creator>
  <cp:lastModifiedBy>淡然で微笑い</cp:lastModifiedBy>
  <cp:lastPrinted>2026-03-23T09:49:00Z</cp:lastPrinted>
  <dcterms:modified xsi:type="dcterms:W3CDTF">2026-03-23T11:04:33Z</dcterms:modified>
  <dc:title>fgw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EE2FE3F2E11AA6A65A94B269BDF5A5DE</vt:lpwstr>
  </property>
  <property fmtid="{D5CDD505-2E9C-101B-9397-08002B2CF9AE}" pid="4" name="KSOTemplateDocerSaveRecord">
    <vt:lpwstr>eyJoZGlkIjoiZjJiMzk5MGMzZTc5YTNkODYxNjAzMGQxYTk5MjY2NmUiLCJ1c2VySWQiOiIyNzA0NTI1MzMifQ==</vt:lpwstr>
  </property>
</Properties>
</file>